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Совет сельского поселения Нижнебалтачевский сельсовет </w:t>
      </w: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района Татышлинский район Республики Башкортостан</w:t>
      </w: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8AF" w:rsidRDefault="006D68AF" w:rsidP="006D68AF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ab/>
        <w:t xml:space="preserve"> </w:t>
      </w:r>
      <w:r w:rsidR="00917A96">
        <w:rPr>
          <w:rFonts w:ascii="Times New Roman" w:hAnsi="Times New Roman" w:cs="Times New Roman"/>
          <w:b w:val="0"/>
          <w:i w:val="0"/>
        </w:rPr>
        <w:t>28 апреля</w:t>
      </w:r>
      <w:r>
        <w:rPr>
          <w:rFonts w:ascii="Times New Roman" w:hAnsi="Times New Roman" w:cs="Times New Roman"/>
          <w:b w:val="0"/>
          <w:i w:val="0"/>
        </w:rPr>
        <w:t xml:space="preserve">  2017 года    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>№</w:t>
      </w:r>
      <w:r w:rsidR="00917A96">
        <w:rPr>
          <w:rFonts w:ascii="Times New Roman" w:hAnsi="Times New Roman" w:cs="Times New Roman"/>
          <w:b w:val="0"/>
          <w:i w:val="0"/>
        </w:rPr>
        <w:t>170</w:t>
      </w:r>
      <w:r>
        <w:rPr>
          <w:rFonts w:ascii="Times New Roman" w:hAnsi="Times New Roman" w:cs="Times New Roman"/>
          <w:b w:val="0"/>
          <w:i w:val="0"/>
        </w:rPr>
        <w:t xml:space="preserve">  </w:t>
      </w: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68AF" w:rsidRP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68AF">
        <w:rPr>
          <w:rFonts w:ascii="Times New Roman" w:hAnsi="Times New Roman" w:cs="Times New Roman"/>
          <w:bCs/>
          <w:sz w:val="28"/>
          <w:szCs w:val="28"/>
        </w:rPr>
        <w:t>Об утверждении отчета об исполнении бюджета сельского поселения Нижнебалтачевский сельсовет муниципального района Татышлинский район Республики Башкортостан за  201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6D68AF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68AF" w:rsidRDefault="006D68AF" w:rsidP="006D68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 со статьей 264.6 Бюджетного кодекса Российской Федерации, решением Совета  </w:t>
      </w:r>
      <w:r>
        <w:rPr>
          <w:rFonts w:ascii="Times New Roman" w:hAnsi="Times New Roman" w:cs="Times New Roman"/>
          <w:sz w:val="28"/>
          <w:szCs w:val="28"/>
        </w:rPr>
        <w:t>сельского поселения Нижнебалтачевский сельсовет муниципального района Татышлинский район Республики Башкортостан от 21.05.2014  №279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 бюджетном процессе в сельском поселении  Нижнебалтачевский сельсовет муниципального района  Татышлинский район Республики Башкортостан»,</w:t>
      </w:r>
      <w:proofErr w:type="gramEnd"/>
    </w:p>
    <w:p w:rsidR="006D68AF" w:rsidRDefault="006D68AF" w:rsidP="006D68AF">
      <w:pPr>
        <w:pStyle w:val="ConsPlusNormal"/>
        <w:ind w:left="142" w:hanging="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целях соблюдения Бюджетного Законодательства Совет сельского поселения Нижнебалтачевский сельсовет муниципального района Татышлинский район Республики Башкортостан 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17A96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Нижнебалтачевский сельсовет муниципального района  Татышлинский район Республики Башкортостан «Об исполнении бюджета сельского поселения Нижнебалтачевский сельсовет муниципального района Татышлинский район  Республики Башкортостан за 2016 год» по доходам в сумме 3625103,58 рубля, по расходам в сумме 2686819,89 рубля с превышением доходов над расходами (профицит бюджета) в сумме 938283,69 рубля со следующими показателями по:</w:t>
      </w:r>
      <w:proofErr w:type="gramEnd"/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4" w:anchor="Par44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доходам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за 2016 год по кодам классификации доходов бюджетов согласно приложению </w:t>
      </w:r>
      <w:r w:rsidR="00917A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5" w:anchor="Par1338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доходам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бюджета сельского поселения за 2016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</w:t>
      </w:r>
      <w:r w:rsidR="00917A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2 к настоящему Решению;</w:t>
      </w:r>
      <w:proofErr w:type="gramEnd"/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ведомственной </w:t>
      </w:r>
      <w:hyperlink r:id="rId6" w:anchor="Par248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структуре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расходов бюджета сельского поселения за 2016год согласно приложению </w:t>
      </w:r>
      <w:r w:rsidR="00917A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hyperlink r:id="rId7" w:anchor="Par31251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распределению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расходов бюджета сельского поселения за 2016 год по разделам, подразделам, целевым статьям и видам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17A9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4 к настоящему Решению;</w:t>
      </w: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hyperlink r:id="rId8" w:anchor="Par50219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источникам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сельского поселения за 2016год по кодам классификации источников финансирования дефицитов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бюджетов согласно приложению </w:t>
      </w:r>
      <w:r w:rsidR="00917A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 к настоящему Решению;</w:t>
      </w:r>
      <w:proofErr w:type="gramEnd"/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hyperlink r:id="rId9" w:anchor="Par50305" w:history="1">
        <w:r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источникам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2016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</w:t>
      </w:r>
      <w:r w:rsidR="00917A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6 к настоящему Решению</w:t>
      </w:r>
      <w:bookmarkStart w:id="0" w:name="Par22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7) структуре по целевым статьям, муниципальным программам и непрограммным направлениям деятельности, группам видов классификации расходов бюджета сельского поселения Нижнебалтачевский сельсовет муниципального района  Татышлинский район Республики Башкортостан за 2016 год, согласно приложению </w:t>
      </w:r>
      <w:r w:rsidR="00917A9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 к настоящему Решению.</w:t>
      </w:r>
      <w:proofErr w:type="gramEnd"/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8AF" w:rsidRDefault="006D68AF" w:rsidP="006D68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AF" w:rsidRDefault="006D68AF" w:rsidP="006D68AF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D68AF" w:rsidRDefault="006D68AF" w:rsidP="006D68AF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Нижнебалтачевский сельсовет</w:t>
      </w:r>
    </w:p>
    <w:p w:rsidR="006D68AF" w:rsidRDefault="006D68AF" w:rsidP="006D68AF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Татышлинский район</w:t>
      </w:r>
    </w:p>
    <w:p w:rsidR="006D68AF" w:rsidRDefault="006D68AF" w:rsidP="006D68AF">
      <w:pPr>
        <w:pStyle w:val="a3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Башкортостан:                                 Э.Б. Рахимзянов</w:t>
      </w:r>
    </w:p>
    <w:p w:rsidR="0000617C" w:rsidRDefault="0000617C"/>
    <w:sectPr w:rsidR="0000617C" w:rsidSect="0000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8AF"/>
    <w:rsid w:val="0000617C"/>
    <w:rsid w:val="003B024F"/>
    <w:rsid w:val="006D68AF"/>
    <w:rsid w:val="00917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AF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6D68A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D68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D68AF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D68AF"/>
    <w:rPr>
      <w:rFonts w:ascii="Times New Roman" w:eastAsia="Times New Roman" w:hAnsi="Times New Roman" w:cs="Times New Roman"/>
      <w:sz w:val="26"/>
      <w:lang w:eastAsia="ru-RU"/>
    </w:rPr>
  </w:style>
  <w:style w:type="paragraph" w:customStyle="1" w:styleId="ConsPlusNormal">
    <w:name w:val="ConsPlusNormal"/>
    <w:rsid w:val="006D68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D6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00.625\&#1056;&#1077;&#1096;&#1077;&#1085;&#1080;&#1077;%20&#1086;&#1073;%20&#1080;&#1089;&#1087;&#1086;&#1083;&#1085;&#1077;&#1085;&#1080;&#1080;%20&#1073;&#1102;&#1076;&#1078;&#1077;&#1090;&#1072;%202014%20&#1075;&#1086;&#1076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WINDOWS\Temp\Rar$DI00.625\&#1056;&#1077;&#1096;&#1077;&#1085;&#1080;&#1077;%20&#1086;&#1073;%20&#1080;&#1089;&#1087;&#1086;&#1083;&#1085;&#1077;&#1085;&#1080;&#1080;%20&#1073;&#1102;&#1076;&#1078;&#1077;&#1090;&#1072;%202014%20&#1075;&#1086;&#1076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WINDOWS\Temp\Rar$DI00.625\&#1056;&#1077;&#1096;&#1077;&#1085;&#1080;&#1077;%20&#1086;&#1073;%20&#1080;&#1089;&#1087;&#1086;&#1083;&#1085;&#1077;&#1085;&#1080;&#1080;%20&#1073;&#1102;&#1076;&#1078;&#1077;&#1090;&#1072;%202014%20&#1075;&#1086;&#1076;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WINDOWS\Temp\Rar$DI00.625\&#1056;&#1077;&#1096;&#1077;&#1085;&#1080;&#1077;%20&#1086;&#1073;%20&#1080;&#1089;&#1087;&#1086;&#1083;&#1085;&#1077;&#1085;&#1080;&#1080;%20&#1073;&#1102;&#1076;&#1078;&#1077;&#1090;&#1072;%202014%20&#1075;&#1086;&#1076;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WINDOWS\Temp\Rar$DI00.625\&#1056;&#1077;&#1096;&#1077;&#1085;&#1080;&#1077;%20&#1086;&#1073;%20&#1080;&#1089;&#1087;&#1086;&#1083;&#1085;&#1077;&#1085;&#1080;&#1080;%20&#1073;&#1102;&#1076;&#1078;&#1077;&#1090;&#1072;%202014%20&#1075;&#1086;&#1076;.doc" TargetMode="External"/><Relationship Id="rId9" Type="http://schemas.openxmlformats.org/officeDocument/2006/relationships/hyperlink" Target="file:///C:\WINDOWS\Temp\Rar$DI00.625\&#1056;&#1077;&#1096;&#1077;&#1085;&#1080;&#1077;%20&#1086;&#1073;%20&#1080;&#1089;&#1087;&#1086;&#1083;&#1085;&#1077;&#1085;&#1080;&#1080;%20&#1073;&#1102;&#1076;&#1078;&#1077;&#1090;&#1072;%202014%20&#1075;&#1086;&#107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574</Words>
  <Characters>3277</Characters>
  <Application>Microsoft Office Word</Application>
  <DocSecurity>0</DocSecurity>
  <Lines>27</Lines>
  <Paragraphs>7</Paragraphs>
  <ScaleCrop>false</ScaleCrop>
  <Company>СП Нижнебалтачевский с/с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4</cp:revision>
  <cp:lastPrinted>2017-04-28T07:26:00Z</cp:lastPrinted>
  <dcterms:created xsi:type="dcterms:W3CDTF">2017-04-28T07:23:00Z</dcterms:created>
  <dcterms:modified xsi:type="dcterms:W3CDTF">2018-07-13T10:13:00Z</dcterms:modified>
</cp:coreProperties>
</file>