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сельсовет  </w:t>
      </w: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 Республики Башкортостан</w:t>
      </w: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734C2" w:rsidRDefault="001734C2" w:rsidP="001734C2">
      <w:pPr>
        <w:shd w:val="clear" w:color="auto" w:fill="FFFFFF"/>
        <w:tabs>
          <w:tab w:val="left" w:pos="8376"/>
        </w:tabs>
        <w:ind w:left="490"/>
      </w:pPr>
      <w:r>
        <w:rPr>
          <w:iCs/>
          <w:spacing w:val="11"/>
          <w:sz w:val="28"/>
          <w:szCs w:val="28"/>
        </w:rPr>
        <w:t xml:space="preserve">«24»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iCs/>
          <w:spacing w:val="11"/>
          <w:sz w:val="28"/>
          <w:szCs w:val="28"/>
        </w:rPr>
        <w:t xml:space="preserve">декабря  </w:t>
      </w:r>
      <w:r>
        <w:rPr>
          <w:spacing w:val="11"/>
          <w:sz w:val="28"/>
          <w:szCs w:val="28"/>
        </w:rPr>
        <w:t>2015 г.                                                      № 45</w:t>
      </w:r>
    </w:p>
    <w:p w:rsidR="001734C2" w:rsidRDefault="001734C2" w:rsidP="001734C2">
      <w:pPr>
        <w:pStyle w:val="ConsTitle"/>
        <w:widowControl/>
        <w:ind w:right="0"/>
        <w:rPr>
          <w:rFonts w:ascii="Times New Roman" w:hAnsi="Times New Roman" w:cs="Times New Roman"/>
          <w:b w:val="0"/>
          <w:sz w:val="25"/>
          <w:szCs w:val="25"/>
        </w:rPr>
      </w:pPr>
    </w:p>
    <w:p w:rsidR="001734C2" w:rsidRDefault="001734C2" w:rsidP="001734C2">
      <w:pPr>
        <w:pStyle w:val="a3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О внесении изменений в Приложение №2 «Методика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b w:val="0"/>
          <w:sz w:val="25"/>
          <w:szCs w:val="25"/>
        </w:rPr>
        <w:t>Нижнебалтачевский</w:t>
      </w:r>
      <w:proofErr w:type="spellEnd"/>
      <w:r>
        <w:rPr>
          <w:b w:val="0"/>
          <w:sz w:val="25"/>
          <w:szCs w:val="25"/>
        </w:rPr>
        <w:t xml:space="preserve"> сельсовет муниципального района </w:t>
      </w:r>
      <w:proofErr w:type="spellStart"/>
      <w:r>
        <w:rPr>
          <w:b w:val="0"/>
          <w:sz w:val="25"/>
          <w:szCs w:val="25"/>
        </w:rPr>
        <w:t>Татышлинский</w:t>
      </w:r>
      <w:proofErr w:type="spellEnd"/>
      <w:r>
        <w:rPr>
          <w:b w:val="0"/>
          <w:sz w:val="25"/>
          <w:szCs w:val="25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>
        <w:rPr>
          <w:b w:val="0"/>
          <w:sz w:val="25"/>
          <w:szCs w:val="25"/>
        </w:rPr>
        <w:t>Нижнебалтачевский</w:t>
      </w:r>
      <w:proofErr w:type="spellEnd"/>
      <w:r>
        <w:rPr>
          <w:b w:val="0"/>
          <w:sz w:val="25"/>
          <w:szCs w:val="25"/>
        </w:rPr>
        <w:t xml:space="preserve"> сельсовет муниципального района </w:t>
      </w:r>
      <w:proofErr w:type="spellStart"/>
      <w:r>
        <w:rPr>
          <w:b w:val="0"/>
          <w:sz w:val="25"/>
          <w:szCs w:val="25"/>
        </w:rPr>
        <w:t>Татышлинский</w:t>
      </w:r>
      <w:proofErr w:type="spellEnd"/>
      <w:r>
        <w:rPr>
          <w:b w:val="0"/>
          <w:sz w:val="25"/>
          <w:szCs w:val="25"/>
        </w:rPr>
        <w:t xml:space="preserve"> район Республики Башкортостан от 30.10.2009г. №289 (с последующими изменениями)</w:t>
      </w:r>
    </w:p>
    <w:p w:rsidR="001734C2" w:rsidRDefault="001734C2" w:rsidP="001734C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1734C2" w:rsidRDefault="001734C2" w:rsidP="001734C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В целях эффективного управления имуществом</w:t>
      </w:r>
      <w:r>
        <w:rPr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район Республики Башкортостан,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Совет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район Республики Башкортостан,</w:t>
      </w:r>
      <w:proofErr w:type="gramEnd"/>
    </w:p>
    <w:p w:rsidR="001734C2" w:rsidRDefault="001734C2" w:rsidP="001734C2">
      <w:pPr>
        <w:pStyle w:val="ConsTitle"/>
        <w:widowControl/>
        <w:ind w:right="0"/>
        <w:rPr>
          <w:rFonts w:ascii="Times New Roman" w:hAnsi="Times New Roman" w:cs="Times New Roman"/>
          <w:b w:val="0"/>
          <w:sz w:val="25"/>
          <w:szCs w:val="25"/>
        </w:rPr>
      </w:pPr>
    </w:p>
    <w:p w:rsidR="001734C2" w:rsidRDefault="001734C2" w:rsidP="001734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РЕШИЛ:</w:t>
      </w:r>
    </w:p>
    <w:p w:rsidR="001734C2" w:rsidRDefault="001734C2" w:rsidP="001734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1734C2" w:rsidRDefault="001734C2" w:rsidP="001734C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В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Приложение №2 «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Методика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район Республики Башкортостан», утвержденного Решением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Совета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район Республики Башкортостан                            от  30.10.2009г. №289 (с последующими изменениями)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(далее по тексту «Методика»), внести следующие изменения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:</w:t>
      </w:r>
    </w:p>
    <w:p w:rsidR="001734C2" w:rsidRDefault="001734C2" w:rsidP="001734C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1.1. Пункт 4.1 Методики изложить в следующей редакции: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«4.1. При передаче в аренду имущественных комплексов систем электроснабжения, теплоснабжения, газоснабжения, водоснабжения, водоотведения, (энергетических объектов, инженерных коммуникаций и сооружений и прочего имущества), находящихся в муниципальной собственности, размер годовой арендной платы рассчитывается по следующей формуле: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Апл</w:t>
      </w:r>
      <w:proofErr w:type="spellEnd"/>
      <w:r>
        <w:rPr>
          <w:sz w:val="25"/>
          <w:szCs w:val="25"/>
        </w:rPr>
        <w:t xml:space="preserve"> = </w:t>
      </w:r>
      <w:r>
        <w:rPr>
          <w:sz w:val="25"/>
          <w:szCs w:val="25"/>
          <w:lang w:val="en-US"/>
        </w:rPr>
        <w:t>L</w:t>
      </w:r>
      <w:r>
        <w:rPr>
          <w:sz w:val="25"/>
          <w:szCs w:val="25"/>
        </w:rPr>
        <w:t xml:space="preserve">х5000 x Ки x (1 + </w:t>
      </w:r>
      <w:proofErr w:type="spellStart"/>
      <w:r>
        <w:rPr>
          <w:sz w:val="25"/>
          <w:szCs w:val="25"/>
        </w:rPr>
        <w:t>Кндс</w:t>
      </w:r>
      <w:proofErr w:type="spellEnd"/>
      <w:r>
        <w:rPr>
          <w:sz w:val="25"/>
          <w:szCs w:val="25"/>
        </w:rPr>
        <w:t xml:space="preserve">) + </w:t>
      </w:r>
      <w:proofErr w:type="spellStart"/>
      <w:r>
        <w:rPr>
          <w:sz w:val="25"/>
          <w:szCs w:val="25"/>
        </w:rPr>
        <w:t>Азем</w:t>
      </w:r>
      <w:proofErr w:type="spellEnd"/>
      <w:r>
        <w:rPr>
          <w:sz w:val="25"/>
          <w:szCs w:val="25"/>
        </w:rPr>
        <w:t>, где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Апл</w:t>
      </w:r>
      <w:proofErr w:type="spellEnd"/>
      <w:r>
        <w:rPr>
          <w:sz w:val="25"/>
          <w:szCs w:val="25"/>
        </w:rPr>
        <w:t xml:space="preserve"> - арендная плата, в руб.;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  <w:lang w:val="en-US"/>
        </w:rPr>
        <w:t>L</w:t>
      </w:r>
      <w:r w:rsidRPr="00A5054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proofErr w:type="gramStart"/>
      <w:r>
        <w:rPr>
          <w:sz w:val="25"/>
          <w:szCs w:val="25"/>
        </w:rPr>
        <w:t>протяженность</w:t>
      </w:r>
      <w:proofErr w:type="gramEnd"/>
      <w:r>
        <w:rPr>
          <w:sz w:val="25"/>
          <w:szCs w:val="25"/>
        </w:rPr>
        <w:t xml:space="preserve"> сетей, в км с точностью до тысячных долей;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Ки - коэффициент инфляции. </w:t>
      </w:r>
      <w:proofErr w:type="gramStart"/>
      <w:r>
        <w:rPr>
          <w:sz w:val="25"/>
          <w:szCs w:val="25"/>
        </w:rPr>
        <w:t>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используемый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  <w:proofErr w:type="gramEnd"/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Кндс</w:t>
      </w:r>
      <w:proofErr w:type="spellEnd"/>
      <w:r>
        <w:rPr>
          <w:sz w:val="25"/>
          <w:szCs w:val="25"/>
        </w:rPr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>
        <w:rPr>
          <w:sz w:val="25"/>
          <w:szCs w:val="25"/>
        </w:rPr>
        <w:t>Кндс</w:t>
      </w:r>
      <w:proofErr w:type="spellEnd"/>
      <w:r>
        <w:rPr>
          <w:sz w:val="25"/>
          <w:szCs w:val="25"/>
        </w:rPr>
        <w:t xml:space="preserve"> = ставка НДС/100;</w:t>
      </w:r>
    </w:p>
    <w:p w:rsidR="001734C2" w:rsidRDefault="001734C2" w:rsidP="001734C2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lastRenderedPageBreak/>
        <w:tab/>
      </w:r>
      <w:proofErr w:type="spellStart"/>
      <w:r>
        <w:rPr>
          <w:bCs/>
          <w:sz w:val="25"/>
          <w:szCs w:val="25"/>
        </w:rPr>
        <w:t>Азем</w:t>
      </w:r>
      <w:proofErr w:type="spellEnd"/>
      <w:r>
        <w:rPr>
          <w:bCs/>
          <w:sz w:val="25"/>
          <w:szCs w:val="25"/>
        </w:rPr>
        <w:t xml:space="preserve"> - арендная плата за землю, рассчитывается по следующей формуле:</w:t>
      </w:r>
    </w:p>
    <w:p w:rsidR="001734C2" w:rsidRDefault="001734C2" w:rsidP="001734C2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proofErr w:type="spellStart"/>
      <w:r>
        <w:rPr>
          <w:bCs/>
          <w:sz w:val="25"/>
          <w:szCs w:val="25"/>
        </w:rPr>
        <w:t>Азем</w:t>
      </w:r>
      <w:proofErr w:type="spellEnd"/>
      <w:r>
        <w:rPr>
          <w:bCs/>
          <w:sz w:val="25"/>
          <w:szCs w:val="25"/>
        </w:rPr>
        <w:t xml:space="preserve"> = </w:t>
      </w:r>
      <w:r>
        <w:rPr>
          <w:bCs/>
          <w:sz w:val="25"/>
          <w:szCs w:val="25"/>
          <w:lang w:val="en-US"/>
        </w:rPr>
        <w:t>S</w:t>
      </w:r>
      <w:proofErr w:type="spellStart"/>
      <w:r>
        <w:rPr>
          <w:bCs/>
          <w:sz w:val="25"/>
          <w:szCs w:val="25"/>
        </w:rPr>
        <w:t>зем</w:t>
      </w:r>
      <w:proofErr w:type="spellEnd"/>
      <w:r>
        <w:rPr>
          <w:bCs/>
          <w:sz w:val="25"/>
          <w:szCs w:val="25"/>
        </w:rPr>
        <w:t xml:space="preserve"> х Кс х</w:t>
      </w:r>
      <w:proofErr w:type="gramStart"/>
      <w:r>
        <w:rPr>
          <w:bCs/>
          <w:sz w:val="25"/>
          <w:szCs w:val="25"/>
        </w:rPr>
        <w:t xml:space="preserve"> К</w:t>
      </w:r>
      <w:proofErr w:type="gramEnd"/>
      <w:r>
        <w:rPr>
          <w:bCs/>
          <w:sz w:val="25"/>
          <w:szCs w:val="25"/>
        </w:rPr>
        <w:t>/100, где</w:t>
      </w:r>
    </w:p>
    <w:p w:rsidR="001734C2" w:rsidRDefault="001734C2" w:rsidP="001734C2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>
        <w:rPr>
          <w:bCs/>
          <w:sz w:val="25"/>
          <w:szCs w:val="25"/>
          <w:lang w:val="en-US"/>
        </w:rPr>
        <w:t>S</w:t>
      </w:r>
      <w:proofErr w:type="spellStart"/>
      <w:r>
        <w:rPr>
          <w:bCs/>
          <w:sz w:val="25"/>
          <w:szCs w:val="25"/>
        </w:rPr>
        <w:t>зем</w:t>
      </w:r>
      <w:proofErr w:type="spellEnd"/>
      <w:r>
        <w:rPr>
          <w:bCs/>
          <w:sz w:val="25"/>
          <w:szCs w:val="25"/>
        </w:rPr>
        <w:t xml:space="preserve"> – общая площадь земельного участка;</w:t>
      </w:r>
    </w:p>
    <w:p w:rsidR="001734C2" w:rsidRDefault="001734C2" w:rsidP="001734C2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  <w:t>Кс - удельный показатель кадастровой стоимости земельного участка;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- </w:t>
      </w:r>
      <w:proofErr w:type="gramStart"/>
      <w:r>
        <w:rPr>
          <w:sz w:val="25"/>
          <w:szCs w:val="25"/>
        </w:rPr>
        <w:t>ставка</w:t>
      </w:r>
      <w:proofErr w:type="gramEnd"/>
      <w:r>
        <w:rPr>
          <w:sz w:val="25"/>
          <w:szCs w:val="25"/>
        </w:rPr>
        <w:t xml:space="preserve"> арендной платы в процентах от кадастровой стоимости земельного участка, установленная Решением Совета сельского поселения </w:t>
      </w:r>
      <w:proofErr w:type="spellStart"/>
      <w:r>
        <w:rPr>
          <w:sz w:val="25"/>
          <w:szCs w:val="25"/>
        </w:rPr>
        <w:t>Нижнебалтачевский</w:t>
      </w:r>
      <w:proofErr w:type="spellEnd"/>
      <w:r>
        <w:rPr>
          <w:sz w:val="25"/>
          <w:szCs w:val="25"/>
        </w:rPr>
        <w:t xml:space="preserve">   сельсовет муниципального района </w:t>
      </w:r>
      <w:proofErr w:type="spellStart"/>
      <w:r>
        <w:rPr>
          <w:sz w:val="25"/>
          <w:szCs w:val="25"/>
        </w:rPr>
        <w:t>Татышлинский</w:t>
      </w:r>
      <w:proofErr w:type="spellEnd"/>
      <w:r>
        <w:rPr>
          <w:sz w:val="25"/>
          <w:szCs w:val="25"/>
        </w:rPr>
        <w:t xml:space="preserve"> район Республики Башкортостан             от 22.12.2011г. №71 «Об арендной плате за землю».</w:t>
      </w:r>
    </w:p>
    <w:p w:rsidR="001734C2" w:rsidRDefault="001734C2" w:rsidP="001734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2. Данное Решение вступает в силу с 1 января 2016 года.</w:t>
      </w:r>
    </w:p>
    <w:p w:rsidR="001734C2" w:rsidRDefault="001734C2" w:rsidP="001734C2">
      <w:pPr>
        <w:pStyle w:val="ConsNormal"/>
        <w:widowControl/>
        <w:ind w:righ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Данное Решение подлежит официальному обнародованию.</w:t>
      </w:r>
    </w:p>
    <w:p w:rsidR="001734C2" w:rsidRDefault="001734C2" w:rsidP="001734C2">
      <w:pPr>
        <w:shd w:val="clear" w:color="auto" w:fill="FFFFFF"/>
        <w:ind w:firstLine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   сельского    поселения </w:t>
      </w: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Нижнебалтачевский</w:t>
      </w:r>
      <w:proofErr w:type="spellEnd"/>
      <w:r>
        <w:rPr>
          <w:sz w:val="25"/>
          <w:szCs w:val="25"/>
        </w:rPr>
        <w:t xml:space="preserve"> сельсовет:                                   </w:t>
      </w:r>
      <w:proofErr w:type="spellStart"/>
      <w:r>
        <w:rPr>
          <w:sz w:val="25"/>
          <w:szCs w:val="25"/>
        </w:rPr>
        <w:t>Э.Б.Рахимзянов</w:t>
      </w:r>
      <w:proofErr w:type="spellEnd"/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5"/>
          <w:szCs w:val="25"/>
        </w:rPr>
      </w:pPr>
    </w:p>
    <w:p w:rsidR="001734C2" w:rsidRDefault="001734C2" w:rsidP="001734C2">
      <w:r>
        <w:rPr>
          <w:sz w:val="25"/>
          <w:szCs w:val="25"/>
        </w:rPr>
        <w:t xml:space="preserve"> </w:t>
      </w:r>
    </w:p>
    <w:p w:rsidR="001734C2" w:rsidRDefault="001734C2" w:rsidP="001734C2"/>
    <w:p w:rsidR="001734C2" w:rsidRDefault="001734C2" w:rsidP="001734C2"/>
    <w:p w:rsidR="00A57968" w:rsidRDefault="00A57968">
      <w:bookmarkStart w:id="0" w:name="_GoBack"/>
      <w:bookmarkEnd w:id="0"/>
    </w:p>
    <w:sectPr w:rsidR="00A57968" w:rsidSect="009D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9"/>
    <w:rsid w:val="00113529"/>
    <w:rsid w:val="001734C2"/>
    <w:rsid w:val="00A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34C2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1734C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ConsNormal">
    <w:name w:val="ConsNormal"/>
    <w:rsid w:val="001734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73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34C2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1734C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ConsNormal">
    <w:name w:val="ConsNormal"/>
    <w:rsid w:val="001734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73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2018-11-21T12:14:00Z</dcterms:created>
  <dcterms:modified xsi:type="dcterms:W3CDTF">2018-11-21T12:14:00Z</dcterms:modified>
</cp:coreProperties>
</file>